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CF" w:rsidRPr="00BB647A" w:rsidRDefault="004652CF" w:rsidP="004652CF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59. Выравнивание бюджетной обеспеченности муниципального района</w:t>
      </w:r>
    </w:p>
    <w:p w:rsidR="004652CF" w:rsidRPr="00BB647A" w:rsidRDefault="004652CF" w:rsidP="004652CF">
      <w:pPr>
        <w:pStyle w:val="a3"/>
        <w:jc w:val="both"/>
        <w:rPr>
          <w:b/>
          <w:color w:val="000000"/>
        </w:rPr>
      </w:pPr>
      <w:r w:rsidRPr="00BB647A">
        <w:rPr>
          <w:color w:val="000000"/>
        </w:rPr>
        <w:t xml:space="preserve">              Выравнивание бюджетной обеспеченности муниципального района осуществляется в соответствии с требованиями Бюджетного кодекса Российской Федерации.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4652CF"/>
    <w:rsid w:val="004652CF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2021-04-19T11:42:00Z</dcterms:created>
  <dcterms:modified xsi:type="dcterms:W3CDTF">2021-04-19T11:42:00Z</dcterms:modified>
</cp:coreProperties>
</file>