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AA" w:rsidRPr="00BB647A" w:rsidRDefault="00CB51AA" w:rsidP="00CB51AA">
      <w:pPr>
        <w:pStyle w:val="a3"/>
        <w:jc w:val="center"/>
        <w:rPr>
          <w:b/>
          <w:color w:val="000000"/>
        </w:rPr>
      </w:pPr>
      <w:r w:rsidRPr="00BB647A">
        <w:rPr>
          <w:b/>
          <w:color w:val="000000"/>
        </w:rPr>
        <w:t xml:space="preserve">Статья 56. Исполнение бюджета муниципального района, </w:t>
      </w:r>
      <w:proofErr w:type="gramStart"/>
      <w:r w:rsidRPr="00BB647A">
        <w:rPr>
          <w:b/>
          <w:color w:val="000000"/>
        </w:rPr>
        <w:t>контроль за</w:t>
      </w:r>
      <w:proofErr w:type="gramEnd"/>
      <w:r w:rsidRPr="00BB647A">
        <w:rPr>
          <w:b/>
          <w:color w:val="000000"/>
        </w:rPr>
        <w:t xml:space="preserve"> исполнением бюджета муниципального района</w:t>
      </w:r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1. Исполнение местного бюджета производится в соответствии с Бюджетным кодексом Российской Федерации.</w:t>
      </w:r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2. Кассовое обслуживание исполнения бюджета муниципального района осуществляется в порядке, установленном Бюджетным кодексом Российской Федерации.</w:t>
      </w:r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3. Исполнение бюджета муниципального района организуется на основе сводной бюджетной росписи и кассового плана.</w:t>
      </w:r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Отчет об исполнении бюджета содержит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Федерации.</w:t>
      </w:r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4. </w:t>
      </w:r>
      <w:proofErr w:type="gramStart"/>
      <w:r w:rsidRPr="00BB647A">
        <w:rPr>
          <w:color w:val="000000"/>
        </w:rPr>
        <w:t>Доходы, фактически полученные при исполнении бюджета муниципального района сверх утвержденных решением Собрания депутатов муниципального района о бюджете муниципального района, могут направляться финансовым органом без внесения изменений в решение Собрания депутатов муниципального района о бюджете муниципального района на цели, установленные Бюджетным кодексом Российской Федерации.</w:t>
      </w:r>
      <w:proofErr w:type="gramEnd"/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5. </w:t>
      </w:r>
      <w:proofErr w:type="gramStart"/>
      <w:r w:rsidRPr="00BB647A">
        <w:rPr>
          <w:color w:val="000000"/>
        </w:rPr>
        <w:t>Контроль за</w:t>
      </w:r>
      <w:proofErr w:type="gramEnd"/>
      <w:r w:rsidRPr="00BB647A">
        <w:rPr>
          <w:color w:val="000000"/>
        </w:rPr>
        <w:t xml:space="preserve"> исполнением бюджета муниципального района осуществляют Собрание депутатов муниципального района, администрация муниципального района, контрольно-счетный орган муниципального района в формах и порядке, установленных Бюджетным кодексом Российской Федерации иными актами бюджетного законодательства и муниципальными правовыми актами.</w:t>
      </w:r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6. Собрание депутатов муниципального района вправе рассматривать отдельные вопросы исполнения бюджета муниципального района на заседаниях комиссий, рабочих групп в ходе депутатских слушаний и в связи с депутатскими запросами.</w:t>
      </w:r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7. По представлению Главы муниципального района Собрание депутатов муниципального района утверждает отчет об исполнении бюджета муниципального района.</w:t>
      </w:r>
    </w:p>
    <w:p w:rsidR="00CB51AA" w:rsidRPr="00BB647A" w:rsidRDefault="00CB51AA" w:rsidP="00CB51AA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8. Неисполнение местного бюджета, является основанием для привлечения должностных лиц местного самоуправления к ответственности в соответствии с федеральными законами.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CB51AA"/>
    <w:rsid w:val="00CB51AA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5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2021-04-19T11:41:00Z</dcterms:created>
  <dcterms:modified xsi:type="dcterms:W3CDTF">2021-04-19T11:41:00Z</dcterms:modified>
</cp:coreProperties>
</file>