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427" w:rsidRPr="00BB647A" w:rsidRDefault="002C4427" w:rsidP="002C4427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49. Порядок и условия приватизации муниципальной собственности</w:t>
      </w:r>
    </w:p>
    <w:p w:rsidR="002C4427" w:rsidRPr="00BB647A" w:rsidRDefault="002C4427" w:rsidP="002C442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t xml:space="preserve">                    </w:t>
      </w:r>
      <w:r w:rsidRPr="00BB647A">
        <w:rPr>
          <w:color w:val="000000"/>
        </w:rPr>
        <w:t>1. Порядок и условия приватизации муниципального имущества определяются нормативными правовыми актами, принимаемыми Собранием депутатов муниципального района, в соответствии с федеральными законами.</w:t>
      </w:r>
    </w:p>
    <w:p w:rsidR="002C4427" w:rsidRPr="00BB647A" w:rsidRDefault="002C4427" w:rsidP="002C4427">
      <w:pPr>
        <w:pStyle w:val="a3"/>
        <w:spacing w:before="0" w:beforeAutospacing="0" w:after="0" w:afterAutospacing="0"/>
        <w:jc w:val="both"/>
      </w:pPr>
      <w:r w:rsidRPr="00BB647A">
        <w:rPr>
          <w:color w:val="000000"/>
        </w:rPr>
        <w:t xml:space="preserve">                </w:t>
      </w:r>
      <w:r w:rsidRPr="00BB647A">
        <w:t xml:space="preserve">2. Собрание депутатов муниципального района устанавливает порядок принятия решений об условиях приватизации муниципального имущества, принимает решения о приватизации объектов муниципальной собственности на территории муниципального района, принимает решение о распределении денежных средств, полученных в результате приватизации муниципального имущества в соответствии с действующим законодательством о приватизации. </w:t>
      </w:r>
    </w:p>
    <w:p w:rsidR="002C4427" w:rsidRPr="00BB647A" w:rsidRDefault="002C4427" w:rsidP="002C4427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    3. Доходы от использования и приватизации муниципального имущества поступают в бюджет муниципального района.</w:t>
      </w:r>
    </w:p>
    <w:p w:rsidR="00E90002" w:rsidRDefault="00E90002"/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2C4427"/>
    <w:rsid w:val="002C4427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C4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2021-04-19T11:39:00Z</dcterms:created>
  <dcterms:modified xsi:type="dcterms:W3CDTF">2021-04-19T11:39:00Z</dcterms:modified>
</cp:coreProperties>
</file>