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367" w:rsidRPr="00BB647A" w:rsidRDefault="00643367" w:rsidP="00643367">
      <w:pPr>
        <w:pStyle w:val="a3"/>
        <w:jc w:val="center"/>
        <w:rPr>
          <w:b/>
        </w:rPr>
      </w:pPr>
      <w:r w:rsidRPr="00BB647A">
        <w:rPr>
          <w:b/>
        </w:rPr>
        <w:t xml:space="preserve">Статья 35. Полномочия контрольно-счетной палаты </w:t>
      </w:r>
    </w:p>
    <w:p w:rsidR="00643367" w:rsidRPr="00BB647A" w:rsidRDefault="00643367" w:rsidP="00643367">
      <w:pPr>
        <w:pStyle w:val="a3"/>
        <w:spacing w:before="0" w:beforeAutospacing="0" w:after="0" w:afterAutospacing="0"/>
        <w:jc w:val="both"/>
      </w:pPr>
      <w:r w:rsidRPr="00BB647A">
        <w:t xml:space="preserve">1. Полномочия контрольно-счетной палаты муниципального района определяются в Положении о контрольно-счетной палате, утверждаемой Собранием депутатов муниципального района. </w:t>
      </w:r>
    </w:p>
    <w:p w:rsidR="00643367" w:rsidRPr="00BB647A" w:rsidRDefault="00643367" w:rsidP="00643367">
      <w:pPr>
        <w:pStyle w:val="a3"/>
        <w:spacing w:before="0" w:beforeAutospacing="0" w:after="0" w:afterAutospacing="0"/>
        <w:jc w:val="both"/>
      </w:pPr>
      <w:r w:rsidRPr="00BB647A">
        <w:t xml:space="preserve">2. Акты и представления контрольно-счетной палаты подлежат обязательному рассмотрению администрацией муниципального района, предприятиями, учреждениями и организациями независимо от форм собственности, подчиненности и организационно правовой формы. Информация о мерах реагирования на представление КСП должна быть представлена в сроки не более 1 месяца со дня получения представления, если в самом представлении не определен такой срок. 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643367"/>
    <w:rsid w:val="00643367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3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2021-04-19T11:34:00Z</dcterms:created>
  <dcterms:modified xsi:type="dcterms:W3CDTF">2021-04-19T11:34:00Z</dcterms:modified>
</cp:coreProperties>
</file>