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288" w:rsidRPr="00BB647A" w:rsidRDefault="001F3288" w:rsidP="001F3288">
      <w:pPr>
        <w:pStyle w:val="a3"/>
        <w:spacing w:before="0" w:beforeAutospacing="0" w:after="0" w:afterAutospacing="0"/>
        <w:jc w:val="center"/>
        <w:rPr>
          <w:b/>
          <w:color w:val="000000"/>
        </w:rPr>
      </w:pPr>
      <w:r w:rsidRPr="00BB647A">
        <w:rPr>
          <w:b/>
          <w:color w:val="000000"/>
        </w:rPr>
        <w:t>Статья 12. Голосование по отзыву главы и депутатов муниципального района</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1. Голосование по отзыву главы, депутата муниципального района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2. Основаниями для отзыва Главы муниципального района, депутата могут служить только его конкретное противоправное решение или действие (бездействие), связанное с исполнением Главой муниципального района, депутатом своих полномочий, в случае их подтверждения в судебном порядке.</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3. С инициативой проведения голосования по отзыву могут выступать граждане Российской Федерации, проживающие на территории муниципального района и обладающие активным избирательным правом.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4. </w:t>
      </w:r>
      <w:proofErr w:type="gramStart"/>
      <w:r w:rsidRPr="00BB647A">
        <w:rPr>
          <w:color w:val="000000"/>
        </w:rPr>
        <w:t>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BB647A">
        <w:rPr>
          <w:color w:val="000000"/>
        </w:rPr>
        <w:t>,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5.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муниципального района, депутатом противоправных решений или действий (бездействия), являющихся основанием для отзыва.</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муниципального района принимает решение о направлении их, а также приговора, решения или иного судебного постановления,  в Собрание депутатов.</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7.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отзываемый депутат, Глава муниципального района. </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8.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1F3288" w:rsidRPr="00BB647A" w:rsidRDefault="001F3288" w:rsidP="001F3288">
      <w:pPr>
        <w:pStyle w:val="a3"/>
        <w:spacing w:before="0" w:beforeAutospacing="0" w:after="0" w:afterAutospacing="0"/>
        <w:jc w:val="both"/>
        <w:rPr>
          <w:color w:val="000000"/>
        </w:rPr>
      </w:pPr>
      <w:r w:rsidRPr="00BB647A">
        <w:rPr>
          <w:color w:val="000000"/>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9. Глава муниципального района, депутат имеет право на предоставление ему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w:t>
      </w:r>
      <w:r w:rsidRPr="00BB647A">
        <w:rPr>
          <w:color w:val="000000"/>
        </w:rPr>
        <w:lastRenderedPageBreak/>
        <w:t>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Главе муниципального района за счет средств бюджета муниципального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1F3288" w:rsidRPr="00BB647A" w:rsidRDefault="001F3288" w:rsidP="001F3288">
      <w:pPr>
        <w:pStyle w:val="a3"/>
        <w:spacing w:before="0" w:beforeAutospacing="0" w:after="0" w:afterAutospacing="0"/>
        <w:jc w:val="both"/>
        <w:rPr>
          <w:color w:val="000000"/>
        </w:rPr>
      </w:pPr>
      <w:r w:rsidRPr="00BB647A">
        <w:rPr>
          <w:color w:val="000000"/>
        </w:rPr>
        <w:t>Собрание депутатов муниципального района по письменному заявлению депутата, Главы муниципального района назначает собрания граждан, конференции граждан для дачи депутатом, Главой муниципального района избирателям объяснений по поводу обстоятельств, выдвигаемых в качестве оснований для его отзыва.</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Глава муниципального района, депутат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10. Глава муниципального района, депутат считается отозванным, если за отзыв проголосовало не менее половины избирателей, зарегистрированных в муниципальном районе (избирательном округе). </w:t>
      </w:r>
    </w:p>
    <w:p w:rsidR="001F3288" w:rsidRPr="00BB647A" w:rsidRDefault="001F3288" w:rsidP="001F3288">
      <w:pPr>
        <w:pStyle w:val="a3"/>
        <w:spacing w:before="0" w:beforeAutospacing="0" w:after="0" w:afterAutospacing="0"/>
        <w:jc w:val="both"/>
        <w:rPr>
          <w:color w:val="000000"/>
        </w:rPr>
      </w:pPr>
      <w:r w:rsidRPr="00BB647A">
        <w:rPr>
          <w:color w:val="000000"/>
        </w:rPr>
        <w:t xml:space="preserve">               11. Итоги голосования по отзыву Главы муниципального района, депутата и принятые решения подлежат официальному опубликованию;</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1F3288"/>
    <w:rsid w:val="001F3288"/>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32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2021-04-19T11:24:00Z</dcterms:created>
  <dcterms:modified xsi:type="dcterms:W3CDTF">2021-04-19T11:25:00Z</dcterms:modified>
</cp:coreProperties>
</file>