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B1" w:rsidRPr="00BB647A" w:rsidRDefault="00CB6DB1" w:rsidP="00CB6DB1">
      <w:pPr>
        <w:pStyle w:val="a3"/>
        <w:jc w:val="center"/>
        <w:rPr>
          <w:b/>
          <w:color w:val="000000"/>
        </w:rPr>
      </w:pPr>
      <w:r w:rsidRPr="00BB647A">
        <w:rPr>
          <w:b/>
          <w:color w:val="000000"/>
        </w:rPr>
        <w:t>Статья 9. Осуществление органами местного самоуправления муниципального района отдельных государственных полномочий</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 года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2.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3.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4.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5.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6.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 06.10.2003 года № 131- ФЗ, является основанием для отказа от исполнения указанных полномочий.</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7.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8. Органы государственной власти осуществляют </w:t>
      </w:r>
      <w:proofErr w:type="gramStart"/>
      <w:r w:rsidRPr="00BB647A">
        <w:rPr>
          <w:color w:val="000000"/>
        </w:rPr>
        <w:t>контроль за</w:t>
      </w:r>
      <w:proofErr w:type="gramEnd"/>
      <w:r w:rsidRPr="00BB647A">
        <w:rPr>
          <w:color w:val="000000"/>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06.10.2003г. №131-ФЗ </w:t>
      </w:r>
      <w:proofErr w:type="gramStart"/>
      <w:r w:rsidRPr="00BB647A">
        <w:rPr>
          <w:color w:val="000000"/>
        </w:rPr>
        <w:t>предоставлять уполномоченным государственным органам документы</w:t>
      </w:r>
      <w:proofErr w:type="gramEnd"/>
      <w:r w:rsidRPr="00BB647A">
        <w:rPr>
          <w:color w:val="000000"/>
        </w:rPr>
        <w:t>, связанные с осуществлением отдельных государственных полномочий.</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BB647A">
        <w:rPr>
          <w:color w:val="000000"/>
        </w:rPr>
        <w:t>полномочий</w:t>
      </w:r>
      <w:proofErr w:type="gramEnd"/>
      <w:r w:rsidRPr="00BB647A">
        <w:rPr>
          <w:color w:val="000000"/>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11. </w:t>
      </w:r>
      <w:proofErr w:type="gramStart"/>
      <w:r w:rsidRPr="00BB647A">
        <w:rPr>
          <w:color w:val="000000"/>
        </w:rPr>
        <w:t xml:space="preserve">Органы местного самоуправления муниципального района вправе осуществлять расходы за счет средств бюджета муниципального района (за исключением </w:t>
      </w:r>
      <w:r w:rsidRPr="00BB647A">
        <w:rPr>
          <w:color w:val="000000"/>
        </w:rPr>
        <w:lastRenderedPageBreak/>
        <w:t>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 06.10.2003г. №131-ФЗ, если возможность осуществления таких расходов предусмотрена федеральными законами.</w:t>
      </w:r>
      <w:proofErr w:type="gramEnd"/>
    </w:p>
    <w:p w:rsidR="00CB6DB1" w:rsidRPr="00BB647A" w:rsidRDefault="00CB6DB1" w:rsidP="00CB6DB1">
      <w:pPr>
        <w:pStyle w:val="a3"/>
        <w:spacing w:before="0" w:beforeAutospacing="0" w:after="0" w:afterAutospacing="0"/>
        <w:jc w:val="both"/>
        <w:rPr>
          <w:color w:val="000000"/>
        </w:rPr>
      </w:pPr>
      <w:r w:rsidRPr="00BB647A">
        <w:rPr>
          <w:color w:val="000000"/>
        </w:rPr>
        <w:t xml:space="preserve">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Финансирование полномочий, предусмотренное  частью седьмой,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B6DB1" w:rsidRPr="00BB647A" w:rsidRDefault="00CB6DB1" w:rsidP="00CB6DB1">
      <w:pPr>
        <w:pStyle w:val="a3"/>
        <w:spacing w:before="0" w:beforeAutospacing="0" w:after="0" w:afterAutospacing="0"/>
        <w:jc w:val="both"/>
        <w:rPr>
          <w:color w:val="000000"/>
        </w:rPr>
      </w:pPr>
      <w:r w:rsidRPr="00BB647A">
        <w:rPr>
          <w:color w:val="000000"/>
        </w:rPr>
        <w:t xml:space="preserve">               12.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 года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CB6DB1"/>
    <w:rsid w:val="00CB6DB1"/>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6D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2021-04-19T11:23:00Z</dcterms:created>
  <dcterms:modified xsi:type="dcterms:W3CDTF">2021-04-19T11:23:00Z</dcterms:modified>
</cp:coreProperties>
</file>