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CC" w:rsidRPr="000D2F3D" w:rsidRDefault="001A66CC" w:rsidP="001A66CC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0D2F3D">
        <w:rPr>
          <w:b/>
          <w:color w:val="000000"/>
          <w:sz w:val="27"/>
        </w:rPr>
        <w:t xml:space="preserve">Статья </w:t>
      </w:r>
      <w:r>
        <w:rPr>
          <w:b/>
          <w:color w:val="000000"/>
          <w:sz w:val="27"/>
        </w:rPr>
        <w:t>50</w:t>
      </w:r>
      <w:r w:rsidRPr="000D2F3D">
        <w:rPr>
          <w:b/>
          <w:color w:val="000000"/>
          <w:sz w:val="27"/>
        </w:rPr>
        <w:t>. Бюджет муниципального района (местный бюджет)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 xml:space="preserve">1. Муниципальный район имеет собственный бюджет (местный бюджет). 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Бюджет муниципального района (районный бюджет) и свод бюджетов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 xml:space="preserve"> 2. Составление и рассмотрение проекта бюджета, утверждение и исполнение бюджета, осуществление контроля за его исполнение, составление и утверждение отчета об исполнении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3. Бюджетные полномочия муниципального района устанавливаются Бюджетным кодексом Российской Федерации.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4. Руководитель финансового органа муниципального района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1A66CC" w:rsidRPr="00D65F98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5. Проект бюджета, решение об утверждении бюджета, годовой отчет о его исполнении, ежеквартальные сведения о ходе исполнения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1A66CC" w:rsidRPr="001D5355" w:rsidRDefault="001A66CC" w:rsidP="001A66CC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1D5355">
        <w:rPr>
          <w:color w:val="000000"/>
          <w:sz w:val="27"/>
        </w:rPr>
        <w:t>После опубликования не более чем через 15 дней проект бюджета, отчет о его исполнении выносится на публичные слушания. Результаты публичных слушаний подлежат опубликованию.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6CC"/>
    <w:rsid w:val="000470E4"/>
    <w:rsid w:val="001A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Krokoz™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2017-10-13T07:00:00Z</dcterms:created>
  <dcterms:modified xsi:type="dcterms:W3CDTF">2017-10-13T07:00:00Z</dcterms:modified>
</cp:coreProperties>
</file>