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F3" w:rsidRPr="00D232AD" w:rsidRDefault="001E65F3" w:rsidP="001E65F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D232AD">
        <w:rPr>
          <w:b/>
          <w:color w:val="000000"/>
          <w:sz w:val="27"/>
          <w:szCs w:val="27"/>
        </w:rPr>
        <w:t>Статья 57. Муниципальные заимствования</w:t>
      </w:r>
    </w:p>
    <w:p w:rsidR="001E65F3" w:rsidRDefault="001E65F3" w:rsidP="001E65F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Муниципальный район вправе осуществлять муниципальные заимствования, в том числе путем выпуска муниципальных ценных бумаг, в соответствии с Бюджетным кодексом Российской Федерации и уставом муниципального района.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5F3"/>
    <w:rsid w:val="000470E4"/>
    <w:rsid w:val="001E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Krokoz™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2017-10-13T07:01:00Z</dcterms:created>
  <dcterms:modified xsi:type="dcterms:W3CDTF">2017-10-13T07:02:00Z</dcterms:modified>
</cp:coreProperties>
</file>