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51" w:rsidRPr="00D232AD" w:rsidRDefault="00512451" w:rsidP="00512451">
      <w:pPr>
        <w:pStyle w:val="a3"/>
        <w:jc w:val="center"/>
        <w:rPr>
          <w:b/>
          <w:color w:val="000000"/>
          <w:sz w:val="27"/>
          <w:szCs w:val="27"/>
        </w:rPr>
      </w:pPr>
      <w:r w:rsidRPr="00D232AD">
        <w:rPr>
          <w:b/>
          <w:color w:val="000000"/>
          <w:sz w:val="27"/>
          <w:szCs w:val="27"/>
        </w:rPr>
        <w:t>Статья 60. Гарантии прав граждан на осуществление местного самоуправления в муниципальном районе</w:t>
      </w:r>
    </w:p>
    <w:p w:rsidR="00512451" w:rsidRDefault="00512451" w:rsidP="0051245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1. На территории муниципального района действуют и обеспечиваются все гарантии прав граждан на осуществление местного самоуправления, установленные Конституцией Российской Федерации, федеральными законами, законами Республики Дагестан.</w:t>
      </w:r>
    </w:p>
    <w:p w:rsidR="00512451" w:rsidRDefault="00512451" w:rsidP="0051245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2. Органы местного самоуправления обязаны принимать все предусмотренные законодательством меры по защите прав населения на местное самоуправление. Глава муниципального района обязан обжаловать в установленном законом порядке правовые акты федеральных органов государственной власти или органов государственной власти Республики Дагестан, выходящие за пределы их компетенции, нарушающие права и законные интересы населения муниципального района.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451"/>
    <w:rsid w:val="000470E4"/>
    <w:rsid w:val="0051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>Krokoz™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2017-10-13T07:02:00Z</dcterms:created>
  <dcterms:modified xsi:type="dcterms:W3CDTF">2017-10-13T07:02:00Z</dcterms:modified>
</cp:coreProperties>
</file>