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1B" w:rsidRDefault="009E6E1B" w:rsidP="009E6E1B">
      <w:pPr>
        <w:pStyle w:val="a3"/>
        <w:jc w:val="center"/>
        <w:rPr>
          <w:color w:val="000000"/>
          <w:sz w:val="27"/>
          <w:szCs w:val="27"/>
        </w:rPr>
      </w:pPr>
      <w:r w:rsidRPr="00266129">
        <w:rPr>
          <w:b/>
          <w:color w:val="000000"/>
          <w:sz w:val="27"/>
          <w:szCs w:val="27"/>
        </w:rPr>
        <w:t>Статья 69. Обжалование решений и действий органов местного самоуправления в суд</w:t>
      </w:r>
    </w:p>
    <w:p w:rsidR="009E6E1B" w:rsidRDefault="009E6E1B" w:rsidP="009E6E1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Решения и действия органов местного самоуправления и должностных лиц местного самоуправления муниципального района могут быть обжалованы в суд в порядке, установленном федеральным законодательством.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E1B"/>
    <w:rsid w:val="000470E4"/>
    <w:rsid w:val="009E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Krokoz™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2017-10-13T07:05:00Z</dcterms:created>
  <dcterms:modified xsi:type="dcterms:W3CDTF">2017-10-13T07:06:00Z</dcterms:modified>
</cp:coreProperties>
</file>